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93616" w:rsidRPr="005C649C" w:rsidRDefault="00493616" w:rsidP="000A6CE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C649C">
        <w:rPr>
          <w:rFonts w:ascii="方正小标宋简体" w:eastAsia="方正小标宋简体" w:hint="eastAsia"/>
          <w:sz w:val="44"/>
          <w:szCs w:val="44"/>
        </w:rPr>
        <w:t>中国棋院杭州分院</w:t>
      </w:r>
      <w:r w:rsidRPr="005C649C">
        <w:rPr>
          <w:rFonts w:ascii="方正小标宋简体" w:eastAsia="方正小标宋简体"/>
          <w:sz w:val="44"/>
          <w:szCs w:val="44"/>
        </w:rPr>
        <w:t>2016</w:t>
      </w:r>
      <w:r w:rsidRPr="005C649C">
        <w:rPr>
          <w:rFonts w:ascii="方正小标宋简体" w:eastAsia="方正小标宋简体" w:hint="eastAsia"/>
          <w:sz w:val="44"/>
          <w:szCs w:val="44"/>
        </w:rPr>
        <w:t>年度棋文化研究“</w:t>
      </w:r>
      <w:r w:rsidRPr="005C649C">
        <w:rPr>
          <w:rFonts w:ascii="方正小标宋简体" w:eastAsia="方正小标宋简体"/>
          <w:sz w:val="44"/>
          <w:szCs w:val="44"/>
        </w:rPr>
        <w:t>9+X</w:t>
      </w:r>
      <w:r w:rsidRPr="005C649C">
        <w:rPr>
          <w:rFonts w:ascii="方正小标宋简体" w:eastAsia="方正小标宋简体" w:hint="eastAsia"/>
          <w:sz w:val="44"/>
          <w:szCs w:val="44"/>
        </w:rPr>
        <w:t>”课题招标公告</w:t>
      </w:r>
    </w:p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93616" w:rsidRPr="005C649C" w:rsidRDefault="00493616" w:rsidP="007C122E">
      <w:pPr>
        <w:widowControl/>
        <w:spacing w:line="600" w:lineRule="exact"/>
        <w:ind w:firstLineChars="200" w:firstLine="31680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落实“第三届（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）中国杭州国际棋文化峰会杭州共识”之精神（</w:t>
      </w:r>
      <w:r w:rsidRPr="000E1FAB">
        <w:rPr>
          <w:rFonts w:ascii="楷体_GB2312" w:eastAsia="楷体_GB2312" w:hint="eastAsia"/>
          <w:sz w:val="32"/>
          <w:szCs w:val="32"/>
        </w:rPr>
        <w:t>见附件</w:t>
      </w:r>
      <w:r w:rsidRPr="000E1FAB">
        <w:rPr>
          <w:rFonts w:ascii="楷体_GB2312" w:eastAsia="楷体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），进一步深化棋文化研究，强化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以定性与定量相结合的办法开展细致的定向研究，为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我国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棋类事业和产业的发展提出具有指导性和操作性的意见建议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，经研究，</w:t>
      </w:r>
      <w:r w:rsidRPr="005C649C">
        <w:rPr>
          <w:rFonts w:ascii="仿宋_GB2312" w:eastAsia="仿宋_GB2312" w:hint="eastAsia"/>
          <w:sz w:val="32"/>
          <w:szCs w:val="32"/>
        </w:rPr>
        <w:t>中国棋院杭州分院</w:t>
      </w:r>
      <w:r>
        <w:rPr>
          <w:rFonts w:ascii="仿宋_GB2312" w:eastAsia="仿宋_GB2312" w:hint="eastAsia"/>
          <w:sz w:val="32"/>
          <w:szCs w:val="32"/>
        </w:rPr>
        <w:t>决定实施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年度棋文化研究“</w:t>
      </w:r>
      <w:r>
        <w:rPr>
          <w:rFonts w:ascii="仿宋_GB2312" w:eastAsia="仿宋_GB2312"/>
          <w:sz w:val="32"/>
          <w:szCs w:val="32"/>
        </w:rPr>
        <w:t>9+X</w:t>
      </w:r>
      <w:r>
        <w:rPr>
          <w:rFonts w:ascii="仿宋_GB2312" w:eastAsia="仿宋_GB2312" w:hint="eastAsia"/>
          <w:sz w:val="32"/>
          <w:szCs w:val="32"/>
        </w:rPr>
        <w:t>”课题招标工作</w:t>
      </w:r>
      <w:r w:rsidRPr="005C649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现发布如下公告</w:t>
      </w:r>
      <w:r w:rsidRPr="005C649C">
        <w:rPr>
          <w:rFonts w:ascii="仿宋_GB2312" w:eastAsia="仿宋_GB2312" w:hint="eastAsia"/>
          <w:sz w:val="32"/>
          <w:szCs w:val="32"/>
        </w:rPr>
        <w:t>：</w:t>
      </w:r>
      <w:r w:rsidRPr="005C649C">
        <w:rPr>
          <w:rFonts w:ascii="仿宋_GB2312" w:eastAsia="仿宋_GB2312"/>
          <w:sz w:val="32"/>
          <w:szCs w:val="32"/>
        </w:rPr>
        <w:t xml:space="preserve"> 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5C649C">
        <w:rPr>
          <w:rFonts w:ascii="黑体" w:eastAsia="黑体" w:hAnsi="黑体" w:hint="eastAsia"/>
          <w:sz w:val="32"/>
          <w:szCs w:val="32"/>
        </w:rPr>
        <w:t>一、招标课题</w:t>
      </w:r>
    </w:p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本次招标的棋文化研究“</w:t>
      </w:r>
      <w:r w:rsidRPr="005C649C">
        <w:rPr>
          <w:rFonts w:ascii="仿宋_GB2312" w:eastAsia="仿宋_GB2312"/>
          <w:sz w:val="32"/>
          <w:szCs w:val="32"/>
        </w:rPr>
        <w:t>9+X</w:t>
      </w:r>
      <w:r w:rsidRPr="005C649C">
        <w:rPr>
          <w:rFonts w:ascii="仿宋_GB2312" w:eastAsia="仿宋_GB2312" w:hint="eastAsia"/>
          <w:sz w:val="32"/>
          <w:szCs w:val="32"/>
        </w:rPr>
        <w:t>”课题包括：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/>
          <w:sz w:val="32"/>
          <w:szCs w:val="32"/>
        </w:rPr>
        <w:t>1.</w:t>
      </w:r>
      <w:r w:rsidRPr="005C649C">
        <w:rPr>
          <w:rFonts w:ascii="仿宋_GB2312" w:eastAsia="仿宋_GB2312" w:hint="eastAsia"/>
          <w:sz w:val="32"/>
          <w:szCs w:val="32"/>
        </w:rPr>
        <w:t>棋类运动在实现中国梦的历史进程中的地位和作用</w:t>
      </w:r>
      <w:r>
        <w:rPr>
          <w:rFonts w:ascii="仿宋_GB2312" w:eastAsia="仿宋_GB2312" w:hint="eastAsia"/>
          <w:sz w:val="32"/>
          <w:szCs w:val="32"/>
        </w:rPr>
        <w:t>研究；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/>
          <w:sz w:val="32"/>
          <w:szCs w:val="32"/>
        </w:rPr>
        <w:t>2.</w:t>
      </w:r>
      <w:r w:rsidRPr="005C649C">
        <w:rPr>
          <w:rFonts w:ascii="仿宋_GB2312" w:eastAsia="仿宋_GB2312" w:hint="eastAsia"/>
          <w:sz w:val="32"/>
          <w:szCs w:val="32"/>
        </w:rPr>
        <w:t>棋类活动在中国文化发展中的地位</w:t>
      </w:r>
      <w:r>
        <w:rPr>
          <w:rFonts w:ascii="仿宋_GB2312" w:eastAsia="仿宋_GB2312" w:hint="eastAsia"/>
          <w:sz w:val="32"/>
          <w:szCs w:val="32"/>
        </w:rPr>
        <w:t>和</w:t>
      </w:r>
      <w:r w:rsidRPr="005C649C">
        <w:rPr>
          <w:rFonts w:ascii="仿宋_GB2312" w:eastAsia="仿宋_GB2312" w:hint="eastAsia"/>
          <w:sz w:val="32"/>
          <w:szCs w:val="32"/>
        </w:rPr>
        <w:t>作用</w:t>
      </w:r>
      <w:r>
        <w:rPr>
          <w:rFonts w:ascii="仿宋_GB2312" w:eastAsia="仿宋_GB2312" w:hint="eastAsia"/>
          <w:sz w:val="32"/>
          <w:szCs w:val="32"/>
        </w:rPr>
        <w:t>研究；</w:t>
      </w:r>
    </w:p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 xml:space="preserve">　　</w:t>
      </w:r>
      <w:r w:rsidRPr="005C649C"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</w:t>
      </w:r>
      <w:r w:rsidRPr="005C649C">
        <w:rPr>
          <w:rFonts w:ascii="仿宋_GB2312" w:eastAsia="仿宋_GB2312" w:hint="eastAsia"/>
          <w:sz w:val="32"/>
          <w:szCs w:val="32"/>
        </w:rPr>
        <w:t>棋琴书画</w:t>
      </w:r>
      <w:r>
        <w:rPr>
          <w:rFonts w:ascii="仿宋_GB2312" w:eastAsia="仿宋_GB2312" w:hint="eastAsia"/>
          <w:sz w:val="32"/>
          <w:szCs w:val="32"/>
        </w:rPr>
        <w:t>”</w:t>
      </w:r>
      <w:r w:rsidRPr="005C649C">
        <w:rPr>
          <w:rFonts w:ascii="仿宋_GB2312" w:eastAsia="仿宋_GB2312" w:hint="eastAsia"/>
          <w:sz w:val="32"/>
          <w:szCs w:val="32"/>
        </w:rPr>
        <w:t>四艺的内在联系</w:t>
      </w:r>
      <w:r>
        <w:rPr>
          <w:rFonts w:ascii="仿宋_GB2312" w:eastAsia="仿宋_GB2312" w:hint="eastAsia"/>
          <w:sz w:val="32"/>
          <w:szCs w:val="32"/>
        </w:rPr>
        <w:t>研究；</w:t>
      </w:r>
    </w:p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 xml:space="preserve">　　</w:t>
      </w:r>
      <w:r w:rsidRPr="005C649C">
        <w:rPr>
          <w:rFonts w:ascii="仿宋_GB2312" w:eastAsia="仿宋_GB2312"/>
          <w:sz w:val="32"/>
          <w:szCs w:val="32"/>
        </w:rPr>
        <w:t>4.</w:t>
      </w:r>
      <w:r w:rsidRPr="005C649C">
        <w:rPr>
          <w:rFonts w:ascii="仿宋_GB2312" w:eastAsia="仿宋_GB2312" w:hint="eastAsia"/>
          <w:sz w:val="32"/>
          <w:szCs w:val="32"/>
        </w:rPr>
        <w:t>中国和世界棋文化历史研究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/>
          <w:sz w:val="32"/>
          <w:szCs w:val="32"/>
        </w:rPr>
        <w:t>5.</w:t>
      </w:r>
      <w:r w:rsidRPr="005C649C">
        <w:rPr>
          <w:rFonts w:ascii="仿宋_GB2312" w:eastAsia="仿宋_GB2312" w:hint="eastAsia"/>
          <w:sz w:val="32"/>
          <w:szCs w:val="32"/>
        </w:rPr>
        <w:t>棋类运动比赛规则和比赛赛制现代化研究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5C649C">
        <w:rPr>
          <w:rFonts w:ascii="仿宋_GB2312" w:eastAsia="仿宋_GB2312" w:hint="eastAsia"/>
          <w:sz w:val="32"/>
          <w:szCs w:val="32"/>
        </w:rPr>
        <w:t>专业棋手选拔、培养的内在规律以及体制机制的研究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 w:rsidRPr="005C649C">
        <w:rPr>
          <w:rFonts w:ascii="仿宋_GB2312" w:eastAsia="仿宋_GB2312" w:hint="eastAsia"/>
          <w:sz w:val="32"/>
          <w:szCs w:val="32"/>
        </w:rPr>
        <w:t>棋类比赛的计算机化和互联网化研究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 w:rsidRPr="005C649C">
        <w:rPr>
          <w:rFonts w:ascii="仿宋_GB2312" w:eastAsia="仿宋_GB2312" w:hint="eastAsia"/>
          <w:sz w:val="32"/>
          <w:szCs w:val="32"/>
        </w:rPr>
        <w:t>棋类业余段级位赛的地位、作用以及体制机制创新的研究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/>
          <w:sz w:val="32"/>
          <w:szCs w:val="32"/>
        </w:rPr>
        <w:t>9.</w:t>
      </w:r>
      <w:r w:rsidRPr="005C649C">
        <w:rPr>
          <w:rFonts w:ascii="仿宋_GB2312" w:eastAsia="仿宋_GB2312" w:hint="eastAsia"/>
          <w:sz w:val="32"/>
          <w:szCs w:val="32"/>
        </w:rPr>
        <w:t>图书馆、博物馆在棋类发展中的地位、作用以及体制机制的创新</w:t>
      </w:r>
      <w:r>
        <w:rPr>
          <w:rFonts w:ascii="仿宋_GB2312" w:eastAsia="仿宋_GB2312" w:hint="eastAsia"/>
          <w:sz w:val="32"/>
          <w:szCs w:val="32"/>
        </w:rPr>
        <w:t>研究；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棋文化研究其它相关</w:t>
      </w:r>
      <w:r w:rsidRPr="005C649C"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3616" w:rsidRDefault="00493616" w:rsidP="007C122E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701A9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资助办法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为进一步激发</w:t>
      </w:r>
      <w:r>
        <w:rPr>
          <w:rFonts w:ascii="仿宋_GB2312" w:eastAsia="仿宋_GB2312" w:hint="eastAsia"/>
          <w:sz w:val="32"/>
          <w:szCs w:val="32"/>
        </w:rPr>
        <w:t>社会各界</w:t>
      </w:r>
      <w:r w:rsidRPr="005C649C">
        <w:rPr>
          <w:rFonts w:ascii="仿宋_GB2312" w:eastAsia="仿宋_GB2312" w:hint="eastAsia"/>
          <w:sz w:val="32"/>
          <w:szCs w:val="32"/>
        </w:rPr>
        <w:t>参与棋文化研究的积极性，提高</w:t>
      </w:r>
      <w:r>
        <w:rPr>
          <w:rFonts w:ascii="仿宋_GB2312" w:eastAsia="仿宋_GB2312" w:hint="eastAsia"/>
          <w:sz w:val="32"/>
          <w:szCs w:val="32"/>
        </w:rPr>
        <w:t>课题研</w:t>
      </w:r>
      <w:r w:rsidRPr="005C649C">
        <w:rPr>
          <w:rFonts w:ascii="仿宋_GB2312" w:eastAsia="仿宋_GB2312" w:hint="eastAsia"/>
          <w:sz w:val="32"/>
          <w:szCs w:val="32"/>
        </w:rPr>
        <w:t>究</w:t>
      </w:r>
      <w:r>
        <w:rPr>
          <w:rFonts w:ascii="仿宋_GB2312" w:eastAsia="仿宋_GB2312" w:hint="eastAsia"/>
          <w:sz w:val="32"/>
          <w:szCs w:val="32"/>
        </w:rPr>
        <w:t>的</w:t>
      </w:r>
      <w:r w:rsidRPr="005C649C">
        <w:rPr>
          <w:rFonts w:ascii="仿宋_GB2312" w:eastAsia="仿宋_GB2312" w:hint="eastAsia"/>
          <w:sz w:val="32"/>
          <w:szCs w:val="32"/>
        </w:rPr>
        <w:t>水平和质量，</w:t>
      </w:r>
      <w:r>
        <w:rPr>
          <w:rFonts w:ascii="仿宋_GB2312" w:eastAsia="仿宋_GB2312" w:hint="eastAsia"/>
          <w:sz w:val="32"/>
          <w:szCs w:val="32"/>
        </w:rPr>
        <w:t>中国棋院杭州分院拟</w:t>
      </w:r>
      <w:r w:rsidRPr="005C649C">
        <w:rPr>
          <w:rFonts w:ascii="仿宋_GB2312" w:eastAsia="仿宋_GB2312" w:hint="eastAsia"/>
          <w:sz w:val="32"/>
          <w:szCs w:val="32"/>
        </w:rPr>
        <w:t>对参与招标的课题组或个人给予一定的经费支持：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4290">
        <w:rPr>
          <w:rFonts w:ascii="楷体_GB2312" w:eastAsia="楷体_GB2312"/>
          <w:sz w:val="32"/>
          <w:szCs w:val="32"/>
        </w:rPr>
        <w:t>1.</w:t>
      </w:r>
      <w:r w:rsidRPr="00374290">
        <w:rPr>
          <w:rFonts w:ascii="楷体_GB2312" w:eastAsia="楷体_GB2312" w:hint="eastAsia"/>
          <w:sz w:val="32"/>
          <w:szCs w:val="32"/>
        </w:rPr>
        <w:t>资助对象：</w:t>
      </w:r>
      <w:r>
        <w:rPr>
          <w:rFonts w:ascii="仿宋_GB2312" w:eastAsia="仿宋_GB2312" w:hint="eastAsia"/>
          <w:sz w:val="32"/>
          <w:szCs w:val="32"/>
        </w:rPr>
        <w:t>以</w:t>
      </w:r>
      <w:r w:rsidRPr="005C649C">
        <w:rPr>
          <w:rFonts w:ascii="仿宋_GB2312" w:eastAsia="仿宋_GB2312" w:hint="eastAsia"/>
          <w:sz w:val="32"/>
          <w:szCs w:val="32"/>
        </w:rPr>
        <w:t>课题组或个人</w:t>
      </w:r>
      <w:r>
        <w:rPr>
          <w:rFonts w:ascii="仿宋_GB2312" w:eastAsia="仿宋_GB2312" w:hint="eastAsia"/>
          <w:sz w:val="32"/>
          <w:szCs w:val="32"/>
        </w:rPr>
        <w:t>名义均可参与研究课题投标</w:t>
      </w:r>
      <w:r w:rsidRPr="005C649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但同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人参与投标的课题不能超过两项。已接受其它各类资助的课题不得参加申报。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经分院组织的专家组审定通过后，可获得</w:t>
      </w:r>
      <w:r>
        <w:rPr>
          <w:rFonts w:ascii="仿宋_GB2312" w:eastAsia="仿宋_GB2312" w:hint="eastAsia"/>
          <w:sz w:val="32"/>
          <w:szCs w:val="32"/>
        </w:rPr>
        <w:t>相应的</w:t>
      </w:r>
      <w:r w:rsidRPr="005C649C">
        <w:rPr>
          <w:rFonts w:ascii="仿宋_GB2312" w:eastAsia="仿宋_GB2312" w:hint="eastAsia"/>
          <w:sz w:val="32"/>
          <w:szCs w:val="32"/>
        </w:rPr>
        <w:t>棋文化研究经费支持。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4290">
        <w:rPr>
          <w:rFonts w:ascii="楷体_GB2312" w:eastAsia="楷体_GB2312"/>
          <w:sz w:val="32"/>
          <w:szCs w:val="32"/>
        </w:rPr>
        <w:t>2.</w:t>
      </w:r>
      <w:r w:rsidRPr="00374290">
        <w:rPr>
          <w:rFonts w:ascii="楷体_GB2312" w:eastAsia="楷体_GB2312" w:hint="eastAsia"/>
          <w:sz w:val="32"/>
          <w:szCs w:val="32"/>
        </w:rPr>
        <w:t>资助层级：</w:t>
      </w:r>
      <w:r w:rsidRPr="005C649C">
        <w:rPr>
          <w:rFonts w:ascii="仿宋_GB2312" w:eastAsia="仿宋_GB2312" w:hint="eastAsia"/>
          <w:sz w:val="32"/>
          <w:szCs w:val="32"/>
        </w:rPr>
        <w:t>根据课题难易程度及工作量，分重大课题、重点课题、一般课题三个层级。其中：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重大课题可获得壹万元（￥</w:t>
      </w:r>
      <w:r w:rsidRPr="005C649C">
        <w:rPr>
          <w:rFonts w:ascii="仿宋_GB2312" w:eastAsia="仿宋_GB2312"/>
          <w:sz w:val="32"/>
          <w:szCs w:val="32"/>
        </w:rPr>
        <w:t>10000</w:t>
      </w:r>
      <w:r w:rsidRPr="005C649C">
        <w:rPr>
          <w:rFonts w:ascii="仿宋_GB2312" w:eastAsia="仿宋_GB2312" w:hint="eastAsia"/>
          <w:sz w:val="32"/>
          <w:szCs w:val="32"/>
        </w:rPr>
        <w:t>元）经费支持；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重点课题可获得陆仟元（￥</w:t>
      </w:r>
      <w:r w:rsidRPr="005C649C">
        <w:rPr>
          <w:rFonts w:ascii="仿宋_GB2312" w:eastAsia="仿宋_GB2312"/>
          <w:sz w:val="32"/>
          <w:szCs w:val="32"/>
        </w:rPr>
        <w:t>6000</w:t>
      </w:r>
      <w:r w:rsidRPr="005C649C">
        <w:rPr>
          <w:rFonts w:ascii="仿宋_GB2312" w:eastAsia="仿宋_GB2312" w:hint="eastAsia"/>
          <w:sz w:val="32"/>
          <w:szCs w:val="32"/>
        </w:rPr>
        <w:t>元）经费支持；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一般课题可获得叁仟元（￥</w:t>
      </w:r>
      <w:r w:rsidRPr="005C649C">
        <w:rPr>
          <w:rFonts w:ascii="仿宋_GB2312" w:eastAsia="仿宋_GB2312"/>
          <w:sz w:val="32"/>
          <w:szCs w:val="32"/>
        </w:rPr>
        <w:t>3000</w:t>
      </w:r>
      <w:r w:rsidRPr="005C649C">
        <w:rPr>
          <w:rFonts w:ascii="仿宋_GB2312" w:eastAsia="仿宋_GB2312" w:hint="eastAsia"/>
          <w:sz w:val="32"/>
          <w:szCs w:val="32"/>
        </w:rPr>
        <w:t>元）经费支持。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注：以上经费均为税后金额。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4290">
        <w:rPr>
          <w:rFonts w:ascii="楷体_GB2312" w:eastAsia="楷体_GB2312"/>
          <w:sz w:val="32"/>
          <w:szCs w:val="32"/>
        </w:rPr>
        <w:t>3.</w:t>
      </w:r>
      <w:r w:rsidRPr="00374290">
        <w:rPr>
          <w:rFonts w:ascii="楷体_GB2312" w:eastAsia="楷体_GB2312" w:hint="eastAsia"/>
          <w:sz w:val="32"/>
          <w:szCs w:val="32"/>
        </w:rPr>
        <w:t>资助管理：</w:t>
      </w:r>
      <w:r w:rsidRPr="005C649C">
        <w:rPr>
          <w:rFonts w:ascii="仿宋_GB2312" w:eastAsia="仿宋_GB2312" w:hint="eastAsia"/>
          <w:sz w:val="32"/>
          <w:szCs w:val="32"/>
        </w:rPr>
        <w:t>资助课题以收到课题立项通知书为准</w:t>
      </w:r>
      <w:r>
        <w:rPr>
          <w:rFonts w:ascii="仿宋_GB2312" w:eastAsia="仿宋_GB2312" w:hint="eastAsia"/>
          <w:sz w:val="32"/>
          <w:szCs w:val="32"/>
        </w:rPr>
        <w:t>。双方需签订课题资助协议书（</w:t>
      </w:r>
      <w:r w:rsidRPr="008C6B32">
        <w:rPr>
          <w:rFonts w:ascii="楷体_GB2312" w:eastAsia="楷体_GB2312" w:hint="eastAsia"/>
          <w:sz w:val="32"/>
          <w:szCs w:val="32"/>
        </w:rPr>
        <w:t>见附件</w:t>
      </w:r>
      <w:r w:rsidRPr="008C6B32">
        <w:rPr>
          <w:rFonts w:ascii="楷体_GB2312" w:eastAsia="楷体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493616" w:rsidRDefault="00493616" w:rsidP="000A6CE9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CE747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研究</w:t>
      </w:r>
      <w:r w:rsidRPr="00CE7474">
        <w:rPr>
          <w:rFonts w:ascii="黑体" w:eastAsia="黑体" w:hAnsi="黑体" w:hint="eastAsia"/>
          <w:sz w:val="32"/>
          <w:szCs w:val="32"/>
        </w:rPr>
        <w:t>标准</w:t>
      </w:r>
    </w:p>
    <w:p w:rsidR="00493616" w:rsidRPr="00AF7612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经审核给予立项的课题，需秉承</w:t>
      </w:r>
      <w:r w:rsidRPr="005B321F">
        <w:rPr>
          <w:rFonts w:ascii="仿宋_GB2312" w:eastAsia="仿宋_GB2312" w:hint="eastAsia"/>
          <w:sz w:val="32"/>
          <w:szCs w:val="32"/>
        </w:rPr>
        <w:t>“第三届（</w:t>
      </w:r>
      <w:r w:rsidRPr="005B321F">
        <w:rPr>
          <w:rFonts w:ascii="仿宋_GB2312" w:eastAsia="仿宋_GB2312"/>
          <w:sz w:val="32"/>
          <w:szCs w:val="32"/>
        </w:rPr>
        <w:t>2015</w:t>
      </w:r>
      <w:r w:rsidRPr="005B321F">
        <w:rPr>
          <w:rFonts w:ascii="仿宋_GB2312" w:eastAsia="仿宋_GB2312" w:hint="eastAsia"/>
          <w:sz w:val="32"/>
          <w:szCs w:val="32"/>
        </w:rPr>
        <w:t>）中国杭州国际棋文化峰会杭州共识”之精神</w:t>
      </w:r>
      <w:r>
        <w:rPr>
          <w:rFonts w:ascii="仿宋_GB2312" w:eastAsia="仿宋_GB2312" w:hint="eastAsia"/>
          <w:sz w:val="32"/>
          <w:szCs w:val="32"/>
        </w:rPr>
        <w:t>开展研究，并符合如下学术要求：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374290">
        <w:rPr>
          <w:rFonts w:ascii="楷体_GB2312" w:eastAsia="楷体_GB2312"/>
          <w:sz w:val="32"/>
          <w:szCs w:val="32"/>
        </w:rPr>
        <w:t>1.</w:t>
      </w:r>
      <w:r w:rsidRPr="00374290">
        <w:rPr>
          <w:rFonts w:ascii="楷体_GB2312" w:eastAsia="楷体_GB2312" w:hint="eastAsia"/>
          <w:sz w:val="32"/>
          <w:szCs w:val="32"/>
        </w:rPr>
        <w:t>科学性。</w:t>
      </w:r>
      <w:r w:rsidRPr="001D204B">
        <w:rPr>
          <w:rFonts w:ascii="仿宋_GB2312" w:eastAsia="仿宋_GB2312" w:hint="eastAsia"/>
          <w:sz w:val="32"/>
          <w:szCs w:val="32"/>
        </w:rPr>
        <w:t>课题研究</w:t>
      </w:r>
      <w:r w:rsidRPr="005C649C">
        <w:rPr>
          <w:rFonts w:ascii="仿宋_GB2312" w:eastAsia="仿宋_GB2312" w:hint="eastAsia"/>
          <w:sz w:val="32"/>
          <w:szCs w:val="32"/>
        </w:rPr>
        <w:t>能运用系统科学的理论，科学系统地研究棋文化，理论依据、研究方法应具有较高的科学性。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1943E4">
        <w:rPr>
          <w:rFonts w:ascii="楷体_GB2312" w:eastAsia="楷体_GB2312"/>
          <w:sz w:val="32"/>
          <w:szCs w:val="32"/>
        </w:rPr>
        <w:t>2.</w:t>
      </w:r>
      <w:r w:rsidRPr="001943E4">
        <w:rPr>
          <w:rFonts w:ascii="楷体_GB2312" w:eastAsia="楷体_GB2312" w:hint="eastAsia"/>
          <w:sz w:val="32"/>
          <w:szCs w:val="32"/>
        </w:rPr>
        <w:t>创新性。</w:t>
      </w:r>
      <w:r w:rsidRPr="001D204B">
        <w:rPr>
          <w:rFonts w:ascii="仿宋_GB2312" w:eastAsia="仿宋_GB2312" w:hint="eastAsia"/>
          <w:sz w:val="32"/>
          <w:szCs w:val="32"/>
        </w:rPr>
        <w:t>课题研究</w:t>
      </w:r>
      <w:r w:rsidRPr="005C649C">
        <w:rPr>
          <w:rFonts w:ascii="仿宋_GB2312" w:eastAsia="仿宋_GB2312" w:hint="eastAsia"/>
          <w:sz w:val="32"/>
          <w:szCs w:val="32"/>
        </w:rPr>
        <w:t>能提出独到的见解与观点，注重理论创新与实践创新，观点鲜明、思路清晰、论述精辟，具有较高的创新性。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1943E4">
        <w:rPr>
          <w:rFonts w:ascii="楷体_GB2312" w:eastAsia="楷体_GB2312"/>
          <w:sz w:val="32"/>
          <w:szCs w:val="32"/>
        </w:rPr>
        <w:t>3.</w:t>
      </w:r>
      <w:r w:rsidRPr="001943E4">
        <w:rPr>
          <w:rFonts w:ascii="楷体_GB2312" w:eastAsia="楷体_GB2312" w:hint="eastAsia"/>
          <w:sz w:val="32"/>
          <w:szCs w:val="32"/>
        </w:rPr>
        <w:t>前瞻性。</w:t>
      </w:r>
      <w:r w:rsidRPr="001D204B">
        <w:rPr>
          <w:rFonts w:ascii="仿宋_GB2312" w:eastAsia="仿宋_GB2312" w:hint="eastAsia"/>
          <w:sz w:val="32"/>
          <w:szCs w:val="32"/>
        </w:rPr>
        <w:t>课题研究</w:t>
      </w:r>
      <w:r w:rsidRPr="005C649C">
        <w:rPr>
          <w:rFonts w:ascii="仿宋_GB2312" w:eastAsia="仿宋_GB2312" w:hint="eastAsia"/>
          <w:sz w:val="32"/>
          <w:szCs w:val="32"/>
        </w:rPr>
        <w:t>能在一定范围内对相关领域的研究产生引领作用，</w:t>
      </w:r>
      <w:r>
        <w:rPr>
          <w:rFonts w:ascii="仿宋_GB2312" w:eastAsia="仿宋_GB2312" w:hint="eastAsia"/>
          <w:sz w:val="32"/>
          <w:szCs w:val="32"/>
        </w:rPr>
        <w:t>或</w:t>
      </w:r>
      <w:r w:rsidRPr="005C649C">
        <w:rPr>
          <w:rFonts w:ascii="仿宋_GB2312" w:eastAsia="仿宋_GB2312" w:hint="eastAsia"/>
          <w:sz w:val="32"/>
          <w:szCs w:val="32"/>
        </w:rPr>
        <w:t>填补相关研究的空白，具有一定的前瞻性。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1943E4">
        <w:rPr>
          <w:rFonts w:ascii="楷体_GB2312" w:eastAsia="楷体_GB2312"/>
          <w:sz w:val="32"/>
          <w:szCs w:val="32"/>
        </w:rPr>
        <w:t>4.</w:t>
      </w:r>
      <w:r w:rsidRPr="001943E4">
        <w:rPr>
          <w:rFonts w:ascii="楷体_GB2312" w:eastAsia="楷体_GB2312" w:hint="eastAsia"/>
          <w:sz w:val="32"/>
          <w:szCs w:val="32"/>
        </w:rPr>
        <w:t>实践性。</w:t>
      </w:r>
      <w:r w:rsidRPr="001D204B">
        <w:rPr>
          <w:rFonts w:ascii="仿宋_GB2312" w:eastAsia="仿宋_GB2312" w:hint="eastAsia"/>
          <w:sz w:val="32"/>
          <w:szCs w:val="32"/>
        </w:rPr>
        <w:t>课题研究</w:t>
      </w:r>
      <w:r w:rsidRPr="005C649C">
        <w:rPr>
          <w:rFonts w:ascii="仿宋_GB2312" w:eastAsia="仿宋_GB2312" w:hint="eastAsia"/>
          <w:sz w:val="32"/>
          <w:szCs w:val="32"/>
        </w:rPr>
        <w:t>能立足中国国情，针对中国棋文化</w:t>
      </w:r>
      <w:r>
        <w:rPr>
          <w:rFonts w:ascii="仿宋_GB2312" w:eastAsia="仿宋_GB2312" w:hint="eastAsia"/>
          <w:sz w:val="32"/>
          <w:szCs w:val="32"/>
        </w:rPr>
        <w:t>事业和产业</w:t>
      </w:r>
      <w:r w:rsidRPr="005C649C">
        <w:rPr>
          <w:rFonts w:ascii="仿宋_GB2312" w:eastAsia="仿宋_GB2312" w:hint="eastAsia"/>
          <w:sz w:val="32"/>
          <w:szCs w:val="32"/>
        </w:rPr>
        <w:t>发展的特征，坚持理论设计的科学性与实施的有效性相结合，</w:t>
      </w:r>
      <w:r>
        <w:rPr>
          <w:rFonts w:ascii="仿宋_GB2312" w:eastAsia="仿宋_GB2312" w:hint="eastAsia"/>
          <w:sz w:val="32"/>
          <w:szCs w:val="32"/>
        </w:rPr>
        <w:t>提出具有较强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指导性和操作性的意见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或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建议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E251D">
        <w:rPr>
          <w:rFonts w:ascii="黑体" w:eastAsia="黑体" w:hAnsi="黑体" w:hint="eastAsia"/>
          <w:sz w:val="32"/>
          <w:szCs w:val="32"/>
        </w:rPr>
        <w:t>四、结题要求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结题成果主要形式为学术论文，亦包括</w:t>
      </w:r>
      <w:r w:rsidRPr="005C649C">
        <w:rPr>
          <w:rFonts w:ascii="仿宋_GB2312" w:eastAsia="仿宋_GB2312" w:hint="eastAsia"/>
          <w:sz w:val="32"/>
          <w:szCs w:val="32"/>
        </w:rPr>
        <w:t>研究报告、著作、译作等</w:t>
      </w:r>
      <w:r>
        <w:rPr>
          <w:rFonts w:ascii="仿宋_GB2312" w:eastAsia="仿宋_GB2312" w:hint="eastAsia"/>
          <w:sz w:val="32"/>
          <w:szCs w:val="32"/>
        </w:rPr>
        <w:t>其它学术成果，但均</w:t>
      </w:r>
      <w:r w:rsidRPr="005C649C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原创，</w:t>
      </w:r>
      <w:r w:rsidRPr="005C649C">
        <w:rPr>
          <w:rFonts w:ascii="仿宋_GB2312" w:eastAsia="仿宋_GB2312" w:hint="eastAsia"/>
          <w:sz w:val="32"/>
          <w:szCs w:val="32"/>
        </w:rPr>
        <w:t>且未在公开出版物上发表过</w:t>
      </w:r>
      <w:r>
        <w:rPr>
          <w:rFonts w:ascii="仿宋_GB2312" w:eastAsia="仿宋_GB2312" w:hint="eastAsia"/>
          <w:sz w:val="32"/>
          <w:szCs w:val="32"/>
        </w:rPr>
        <w:t>。其中译作</w:t>
      </w:r>
      <w:r w:rsidRPr="005C649C">
        <w:rPr>
          <w:rFonts w:ascii="仿宋_GB2312" w:eastAsia="仿宋_GB2312" w:hint="eastAsia"/>
          <w:sz w:val="32"/>
          <w:szCs w:val="32"/>
        </w:rPr>
        <w:t>须经原作者本人</w:t>
      </w:r>
      <w:r>
        <w:rPr>
          <w:rFonts w:ascii="仿宋_GB2312" w:eastAsia="仿宋_GB2312" w:hint="eastAsia"/>
          <w:sz w:val="32"/>
          <w:szCs w:val="32"/>
        </w:rPr>
        <w:t>或授权委托他人</w:t>
      </w:r>
      <w:r w:rsidRPr="005C649C">
        <w:rPr>
          <w:rFonts w:ascii="仿宋_GB2312" w:eastAsia="仿宋_GB2312" w:hint="eastAsia"/>
          <w:sz w:val="32"/>
          <w:szCs w:val="32"/>
        </w:rPr>
        <w:t>书面同意后方可参加</w:t>
      </w:r>
      <w:r>
        <w:rPr>
          <w:rFonts w:ascii="仿宋_GB2312" w:eastAsia="仿宋_GB2312" w:hint="eastAsia"/>
          <w:sz w:val="32"/>
          <w:szCs w:val="32"/>
        </w:rPr>
        <w:t>申报</w:t>
      </w:r>
      <w:r w:rsidRPr="005C649C">
        <w:rPr>
          <w:rFonts w:ascii="仿宋_GB2312" w:eastAsia="仿宋_GB2312" w:hint="eastAsia"/>
          <w:sz w:val="32"/>
          <w:szCs w:val="32"/>
        </w:rPr>
        <w:t>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5C649C">
        <w:rPr>
          <w:rFonts w:ascii="仿宋_GB2312" w:eastAsia="仿宋_GB2312" w:hint="eastAsia"/>
          <w:sz w:val="32"/>
          <w:szCs w:val="32"/>
        </w:rPr>
        <w:t>获得资助的课题组</w:t>
      </w:r>
      <w:r>
        <w:rPr>
          <w:rFonts w:ascii="仿宋_GB2312" w:eastAsia="仿宋_GB2312" w:hint="eastAsia"/>
          <w:sz w:val="32"/>
          <w:szCs w:val="32"/>
        </w:rPr>
        <w:t>或个人</w:t>
      </w:r>
      <w:r w:rsidRPr="005C649C">
        <w:rPr>
          <w:rFonts w:ascii="仿宋_GB2312" w:eastAsia="仿宋_GB2312" w:hint="eastAsia"/>
          <w:sz w:val="32"/>
          <w:szCs w:val="32"/>
        </w:rPr>
        <w:t>至少要有</w:t>
      </w:r>
      <w:r w:rsidRPr="005C649C">
        <w:rPr>
          <w:rFonts w:ascii="仿宋_GB2312" w:eastAsia="仿宋_GB2312"/>
          <w:sz w:val="32"/>
          <w:szCs w:val="32"/>
        </w:rPr>
        <w:t>1</w:t>
      </w:r>
      <w:r w:rsidRPr="005C649C">
        <w:rPr>
          <w:rFonts w:ascii="仿宋_GB2312" w:eastAsia="仿宋_GB2312" w:hint="eastAsia"/>
          <w:sz w:val="32"/>
          <w:szCs w:val="32"/>
        </w:rPr>
        <w:t>篇论文提交给第四届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）</w:t>
      </w:r>
      <w:r w:rsidRPr="005C649C">
        <w:rPr>
          <w:rFonts w:ascii="仿宋_GB2312" w:eastAsia="仿宋_GB2312" w:hint="eastAsia"/>
          <w:sz w:val="32"/>
          <w:szCs w:val="32"/>
        </w:rPr>
        <w:t>中国杭州国际棋文化峰会。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5C649C">
        <w:rPr>
          <w:rFonts w:ascii="仿宋_GB2312" w:eastAsia="仿宋_GB2312" w:hint="eastAsia"/>
          <w:sz w:val="32"/>
          <w:szCs w:val="32"/>
        </w:rPr>
        <w:t>论文字数要求为</w:t>
      </w:r>
      <w:r w:rsidRPr="005C649C">
        <w:rPr>
          <w:rFonts w:ascii="仿宋_GB2312" w:eastAsia="仿宋_GB2312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/>
          <w:sz w:val="32"/>
          <w:szCs w:val="32"/>
        </w:rPr>
        <w:t>20</w:t>
      </w:r>
      <w:r w:rsidRPr="005C649C">
        <w:rPr>
          <w:rFonts w:ascii="仿宋_GB2312" w:eastAsia="仿宋_GB2312"/>
          <w:sz w:val="32"/>
          <w:szCs w:val="32"/>
        </w:rPr>
        <w:t>000</w:t>
      </w:r>
      <w:r w:rsidRPr="005C649C">
        <w:rPr>
          <w:rFonts w:ascii="仿宋_GB2312" w:eastAsia="仿宋_GB2312" w:hint="eastAsia"/>
          <w:sz w:val="32"/>
          <w:szCs w:val="32"/>
        </w:rPr>
        <w:t>字。格式</w:t>
      </w:r>
      <w:r>
        <w:rPr>
          <w:rFonts w:ascii="仿宋_GB2312" w:eastAsia="仿宋_GB2312" w:hint="eastAsia"/>
          <w:sz w:val="32"/>
          <w:szCs w:val="32"/>
        </w:rPr>
        <w:t>参照学术论文一般格式</w:t>
      </w:r>
      <w:r w:rsidRPr="005C649C">
        <w:rPr>
          <w:rFonts w:ascii="仿宋_GB2312" w:eastAsia="仿宋_GB2312" w:hint="eastAsia"/>
          <w:sz w:val="32"/>
          <w:szCs w:val="32"/>
        </w:rPr>
        <w:t>，繁简体不限，语言不限。</w:t>
      </w:r>
    </w:p>
    <w:p w:rsidR="00493616" w:rsidRDefault="00493616" w:rsidP="000A6CE9">
      <w:pPr>
        <w:spacing w:line="600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研究成果</w:t>
      </w:r>
      <w:r w:rsidRPr="005C649C">
        <w:rPr>
          <w:rFonts w:ascii="仿宋_GB2312" w:eastAsia="仿宋_GB2312" w:hint="eastAsia"/>
          <w:sz w:val="32"/>
          <w:szCs w:val="32"/>
        </w:rPr>
        <w:t>著作权归作者所有，但</w:t>
      </w:r>
      <w:r>
        <w:rPr>
          <w:rFonts w:ascii="仿宋_GB2312" w:eastAsia="仿宋_GB2312" w:hint="eastAsia"/>
          <w:sz w:val="32"/>
          <w:szCs w:val="32"/>
        </w:rPr>
        <w:t>分院</w:t>
      </w:r>
      <w:r w:rsidRPr="005C649C">
        <w:rPr>
          <w:rFonts w:ascii="仿宋_GB2312" w:eastAsia="仿宋_GB2312" w:hint="eastAsia"/>
          <w:sz w:val="32"/>
          <w:szCs w:val="32"/>
        </w:rPr>
        <w:t>保有以任何形式推广</w:t>
      </w:r>
      <w:r w:rsidRPr="005C649C">
        <w:rPr>
          <w:rFonts w:ascii="仿宋_GB2312" w:eastAsia="仿宋_GB2312"/>
          <w:sz w:val="32"/>
          <w:szCs w:val="32"/>
        </w:rPr>
        <w:t>(</w:t>
      </w:r>
      <w:r w:rsidRPr="005C649C">
        <w:rPr>
          <w:rFonts w:ascii="仿宋_GB2312" w:eastAsia="仿宋_GB2312" w:hint="eastAsia"/>
          <w:sz w:val="32"/>
          <w:szCs w:val="32"/>
        </w:rPr>
        <w:t>如出版、数字化</w:t>
      </w:r>
      <w:r w:rsidRPr="005C649C">
        <w:rPr>
          <w:rFonts w:ascii="仿宋_GB2312" w:eastAsia="仿宋_GB2312"/>
          <w:sz w:val="32"/>
          <w:szCs w:val="32"/>
        </w:rPr>
        <w:t>)</w:t>
      </w:r>
      <w:r w:rsidRPr="005C649C">
        <w:rPr>
          <w:rFonts w:ascii="仿宋_GB2312" w:eastAsia="仿宋_GB2312" w:hint="eastAsia"/>
          <w:sz w:val="32"/>
          <w:szCs w:val="32"/>
        </w:rPr>
        <w:t>、转载授权之权利，不另</w:t>
      </w:r>
      <w:r>
        <w:rPr>
          <w:rFonts w:ascii="仿宋_GB2312" w:eastAsia="仿宋_GB2312" w:hint="eastAsia"/>
          <w:sz w:val="32"/>
          <w:szCs w:val="32"/>
        </w:rPr>
        <w:t>行通知及</w:t>
      </w:r>
      <w:r w:rsidRPr="005C649C">
        <w:rPr>
          <w:rFonts w:ascii="仿宋_GB2312" w:eastAsia="仿宋_GB2312" w:hint="eastAsia"/>
          <w:sz w:val="32"/>
          <w:szCs w:val="32"/>
        </w:rPr>
        <w:t>支</w:t>
      </w:r>
      <w:r>
        <w:rPr>
          <w:rFonts w:ascii="仿宋_GB2312" w:eastAsia="仿宋_GB2312" w:hint="eastAsia"/>
          <w:sz w:val="32"/>
          <w:szCs w:val="32"/>
        </w:rPr>
        <w:t>付报</w:t>
      </w:r>
      <w:r w:rsidRPr="005C649C">
        <w:rPr>
          <w:rFonts w:ascii="仿宋_GB2312" w:eastAsia="仿宋_GB2312" w:hint="eastAsia"/>
          <w:sz w:val="32"/>
          <w:szCs w:val="32"/>
        </w:rPr>
        <w:t>酬，原作者不得异议。</w:t>
      </w:r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未按时提交研究成果者，或经专家评审，成果鉴定为不合格者，将按照课题协议书启动违约程序。</w:t>
      </w:r>
    </w:p>
    <w:p w:rsidR="00493616" w:rsidRPr="00CE7474" w:rsidRDefault="00493616" w:rsidP="000A6CE9">
      <w:pPr>
        <w:spacing w:line="600" w:lineRule="exact"/>
        <w:rPr>
          <w:rFonts w:ascii="黑体" w:eastAsia="黑体" w:hAnsi="黑体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五</w:t>
      </w:r>
      <w:r w:rsidRPr="00CE7474">
        <w:rPr>
          <w:rFonts w:ascii="黑体" w:eastAsia="黑体" w:hAnsi="黑体" w:hint="eastAsia"/>
          <w:sz w:val="32"/>
          <w:szCs w:val="32"/>
        </w:rPr>
        <w:t>、奖励办法</w:t>
      </w:r>
    </w:p>
    <w:p w:rsidR="00493616" w:rsidRPr="005C649C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论文经专家组审核</w:t>
      </w:r>
      <w:r w:rsidRPr="005C649C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后，均提交给第四届（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）中国杭州国际棋文化峰会。根据组委会统筹安排，进行大会报告或小组发言。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所有符合要求的论文</w:t>
      </w:r>
      <w:r w:rsidRPr="005C649C">
        <w:rPr>
          <w:rFonts w:ascii="仿宋_GB2312" w:eastAsia="仿宋_GB2312" w:hint="eastAsia"/>
          <w:sz w:val="32"/>
          <w:szCs w:val="32"/>
        </w:rPr>
        <w:t>编入《钱塘棋会</w:t>
      </w:r>
      <w:r w:rsidRPr="005C649C">
        <w:rPr>
          <w:rFonts w:ascii="仿宋_GB2312" w:eastAsia="仿宋_GB2312"/>
          <w:sz w:val="32"/>
          <w:szCs w:val="32"/>
        </w:rPr>
        <w:t>——</w:t>
      </w:r>
      <w:r w:rsidRPr="005C649C">
        <w:rPr>
          <w:rFonts w:ascii="仿宋_GB2312" w:eastAsia="仿宋_GB2312" w:hint="eastAsia"/>
          <w:sz w:val="32"/>
          <w:szCs w:val="32"/>
        </w:rPr>
        <w:t>中国国际棋文化博览会巡礼》</w:t>
      </w:r>
      <w:r>
        <w:rPr>
          <w:rFonts w:ascii="仿宋_GB2312" w:eastAsia="仿宋_GB2312" w:hint="eastAsia"/>
          <w:sz w:val="32"/>
          <w:szCs w:val="32"/>
        </w:rPr>
        <w:t>，该书由</w:t>
      </w:r>
      <w:r w:rsidRPr="005C649C">
        <w:rPr>
          <w:rFonts w:ascii="仿宋_GB2312" w:eastAsia="仿宋_GB2312" w:hint="eastAsia"/>
          <w:sz w:val="32"/>
          <w:szCs w:val="32"/>
        </w:rPr>
        <w:t>西泠印社出版社出版</w:t>
      </w:r>
      <w:r>
        <w:rPr>
          <w:rFonts w:ascii="仿宋_GB2312" w:eastAsia="仿宋_GB2312" w:hint="eastAsia"/>
          <w:sz w:val="32"/>
          <w:szCs w:val="32"/>
        </w:rPr>
        <w:t>。每位作者获赠</w:t>
      </w:r>
      <w:r w:rsidRPr="005C649C">
        <w:rPr>
          <w:rFonts w:ascii="仿宋_GB2312" w:eastAsia="仿宋_GB2312" w:hint="eastAsia"/>
          <w:sz w:val="32"/>
          <w:szCs w:val="32"/>
        </w:rPr>
        <w:t>《钱塘棋会</w:t>
      </w:r>
      <w:r w:rsidRPr="005C649C">
        <w:rPr>
          <w:rFonts w:ascii="仿宋_GB2312" w:eastAsia="仿宋_GB2312"/>
          <w:sz w:val="32"/>
          <w:szCs w:val="32"/>
        </w:rPr>
        <w:t>——</w:t>
      </w:r>
      <w:r w:rsidRPr="005C649C">
        <w:rPr>
          <w:rFonts w:ascii="仿宋_GB2312" w:eastAsia="仿宋_GB2312" w:hint="eastAsia"/>
          <w:sz w:val="32"/>
          <w:szCs w:val="32"/>
        </w:rPr>
        <w:t>中国国际棋文化博览会巡礼》一本。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根据《棋文化全书》编纂出版进程，由分院组织专家挑选部分优秀研究成果编入《棋文化全书·研究文库》。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所有提交峰会的论文均参加第四届（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）中国杭州国际棋文化峰会优秀论文评选。优秀论文评选办法另行公布。</w:t>
      </w:r>
      <w:r w:rsidRPr="005C649C">
        <w:rPr>
          <w:rFonts w:ascii="仿宋_GB2312" w:eastAsia="仿宋_GB2312" w:hint="eastAsia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标准如下</w:t>
      </w:r>
      <w:r w:rsidRPr="005C649C">
        <w:rPr>
          <w:rFonts w:ascii="仿宋_GB2312" w:eastAsia="仿宋_GB2312" w:hint="eastAsia"/>
          <w:sz w:val="32"/>
          <w:szCs w:val="32"/>
        </w:rPr>
        <w:t>：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一等奖论文可获得叁万元（￥</w:t>
      </w:r>
      <w:r w:rsidRPr="005C649C">
        <w:rPr>
          <w:rFonts w:ascii="仿宋_GB2312" w:eastAsia="仿宋_GB2312"/>
          <w:sz w:val="32"/>
          <w:szCs w:val="32"/>
        </w:rPr>
        <w:t>30000</w:t>
      </w:r>
      <w:r w:rsidRPr="005C649C">
        <w:rPr>
          <w:rFonts w:ascii="仿宋_GB2312" w:eastAsia="仿宋_GB2312" w:hint="eastAsia"/>
          <w:sz w:val="32"/>
          <w:szCs w:val="32"/>
        </w:rPr>
        <w:t>元）奖励；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二等奖论文可获得贰万元（￥</w:t>
      </w:r>
      <w:r w:rsidRPr="005C649C">
        <w:rPr>
          <w:rFonts w:ascii="仿宋_GB2312" w:eastAsia="仿宋_GB2312"/>
          <w:sz w:val="32"/>
          <w:szCs w:val="32"/>
        </w:rPr>
        <w:t>20000</w:t>
      </w:r>
      <w:r w:rsidRPr="005C649C">
        <w:rPr>
          <w:rFonts w:ascii="仿宋_GB2312" w:eastAsia="仿宋_GB2312" w:hint="eastAsia"/>
          <w:sz w:val="32"/>
          <w:szCs w:val="32"/>
        </w:rPr>
        <w:t>元）奖励；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三等奖论文可获得壹万元（￥</w:t>
      </w:r>
      <w:r w:rsidRPr="005C649C">
        <w:rPr>
          <w:rFonts w:ascii="仿宋_GB2312" w:eastAsia="仿宋_GB2312"/>
          <w:sz w:val="32"/>
          <w:szCs w:val="32"/>
        </w:rPr>
        <w:t>10000</w:t>
      </w:r>
      <w:r w:rsidRPr="005C649C">
        <w:rPr>
          <w:rFonts w:ascii="仿宋_GB2312" w:eastAsia="仿宋_GB2312" w:hint="eastAsia"/>
          <w:sz w:val="32"/>
          <w:szCs w:val="32"/>
        </w:rPr>
        <w:t>元）奖励；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优秀入围奖可获得</w:t>
      </w:r>
      <w:r w:rsidRPr="007C122E">
        <w:rPr>
          <w:rFonts w:ascii="仿宋_GB2312" w:eastAsia="仿宋_GB2312" w:hint="eastAsia"/>
          <w:sz w:val="32"/>
          <w:szCs w:val="32"/>
        </w:rPr>
        <w:t>贰</w:t>
      </w:r>
      <w:r w:rsidRPr="005C649C">
        <w:rPr>
          <w:rFonts w:ascii="仿宋_GB2312" w:eastAsia="仿宋_GB2312" w:hint="eastAsia"/>
          <w:sz w:val="32"/>
          <w:szCs w:val="32"/>
        </w:rPr>
        <w:t>仟元（￥</w:t>
      </w:r>
      <w:r w:rsidRPr="005C649C">
        <w:rPr>
          <w:rFonts w:ascii="仿宋_GB2312" w:eastAsia="仿宋_GB2312"/>
          <w:sz w:val="32"/>
          <w:szCs w:val="32"/>
        </w:rPr>
        <w:t>2000</w:t>
      </w:r>
      <w:r w:rsidRPr="005C649C">
        <w:rPr>
          <w:rFonts w:ascii="仿宋_GB2312" w:eastAsia="仿宋_GB2312" w:hint="eastAsia"/>
          <w:sz w:val="32"/>
          <w:szCs w:val="32"/>
        </w:rPr>
        <w:t>元）奖励。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注：以上奖励均为税后金额。</w:t>
      </w:r>
    </w:p>
    <w:p w:rsidR="00493616" w:rsidRPr="009B242C" w:rsidRDefault="00493616" w:rsidP="007C122E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9B242C">
        <w:rPr>
          <w:rFonts w:ascii="黑体" w:eastAsia="黑体" w:hAnsi="黑体" w:hint="eastAsia"/>
          <w:sz w:val="32"/>
          <w:szCs w:val="32"/>
        </w:rPr>
        <w:t>、</w:t>
      </w:r>
      <w:r w:rsidRPr="00CE7474">
        <w:rPr>
          <w:rFonts w:ascii="黑体" w:eastAsia="黑体" w:hAnsi="黑体" w:hint="eastAsia"/>
          <w:sz w:val="32"/>
          <w:szCs w:val="32"/>
        </w:rPr>
        <w:t>申报</w:t>
      </w:r>
      <w:r w:rsidRPr="009B242C">
        <w:rPr>
          <w:rFonts w:ascii="黑体" w:eastAsia="黑体" w:hAnsi="黑体" w:hint="eastAsia"/>
          <w:sz w:val="32"/>
          <w:szCs w:val="32"/>
        </w:rPr>
        <w:t>须知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5C649C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如实填报</w:t>
      </w:r>
      <w:r w:rsidRPr="00AB5F3F">
        <w:rPr>
          <w:rFonts w:ascii="仿宋_GB2312" w:eastAsia="仿宋_GB2312" w:hint="eastAsia"/>
          <w:sz w:val="32"/>
          <w:szCs w:val="32"/>
        </w:rPr>
        <w:t>课题招标申报表</w:t>
      </w:r>
      <w:r>
        <w:rPr>
          <w:rFonts w:ascii="仿宋_GB2312" w:eastAsia="仿宋_GB2312" w:hint="eastAsia"/>
          <w:sz w:val="32"/>
          <w:szCs w:val="32"/>
        </w:rPr>
        <w:t>（</w:t>
      </w:r>
      <w:r w:rsidRPr="008C6B32">
        <w:rPr>
          <w:rFonts w:ascii="楷体_GB2312" w:eastAsia="楷体_GB2312" w:hint="eastAsia"/>
          <w:sz w:val="32"/>
          <w:szCs w:val="32"/>
        </w:rPr>
        <w:t>见附件</w:t>
      </w:r>
      <w:r w:rsidRPr="008C6B32">
        <w:rPr>
          <w:rFonts w:ascii="楷体_GB2312" w:eastAsia="楷体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 w:rsidRPr="005C649C">
          <w:rPr>
            <w:rFonts w:ascii="仿宋_GB2312" w:eastAsia="仿宋_GB2312"/>
            <w:sz w:val="32"/>
            <w:szCs w:val="32"/>
          </w:rPr>
          <w:t>201</w:t>
        </w:r>
        <w:r>
          <w:rPr>
            <w:rFonts w:ascii="仿宋_GB2312" w:eastAsia="仿宋_GB2312"/>
            <w:sz w:val="32"/>
            <w:szCs w:val="32"/>
          </w:rPr>
          <w:t>5</w:t>
        </w:r>
        <w:r w:rsidRPr="005C649C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12</w:t>
        </w:r>
        <w:r w:rsidRPr="005C649C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31</w:t>
        </w:r>
        <w:r w:rsidRPr="005C649C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5C649C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发送至</w:t>
      </w:r>
      <w:r w:rsidRPr="005C649C">
        <w:rPr>
          <w:rFonts w:ascii="仿宋_GB2312" w:eastAsia="仿宋_GB2312" w:hint="eastAsia"/>
          <w:sz w:val="32"/>
          <w:szCs w:val="32"/>
        </w:rPr>
        <w:t>邮箱</w:t>
      </w:r>
      <w:hyperlink r:id="rId7" w:history="1">
        <w:r w:rsidRPr="005C649C">
          <w:rPr>
            <w:rFonts w:ascii="仿宋_GB2312" w:eastAsia="仿宋_GB2312"/>
            <w:sz w:val="32"/>
            <w:szCs w:val="32"/>
          </w:rPr>
          <w:t>gjqwhfh@126.com</w:t>
        </w:r>
      </w:hyperlink>
      <w:r>
        <w:rPr>
          <w:rFonts w:ascii="仿宋_GB2312" w:eastAsia="仿宋_GB2312" w:hint="eastAsia"/>
          <w:sz w:val="32"/>
          <w:szCs w:val="32"/>
        </w:rPr>
        <w:t>，或</w:t>
      </w:r>
      <w:r w:rsidRPr="005C649C">
        <w:rPr>
          <w:rFonts w:ascii="仿宋_GB2312" w:eastAsia="仿宋_GB2312" w:hint="eastAsia"/>
          <w:sz w:val="32"/>
          <w:szCs w:val="32"/>
        </w:rPr>
        <w:t>邮寄至中国棋院杭州分院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3616" w:rsidRPr="00AA780C" w:rsidRDefault="00493616" w:rsidP="000A6CE9">
      <w:pPr>
        <w:spacing w:line="60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AA780C">
        <w:rPr>
          <w:rFonts w:ascii="仿宋_GB2312" w:eastAsia="仿宋_GB2312" w:hint="eastAsia"/>
          <w:b/>
          <w:sz w:val="32"/>
          <w:szCs w:val="32"/>
        </w:rPr>
        <w:t>联系人：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高婷珊，电话：</w:t>
      </w:r>
      <w:r>
        <w:rPr>
          <w:rFonts w:ascii="仿宋_GB2312" w:eastAsia="仿宋_GB2312"/>
          <w:sz w:val="32"/>
          <w:szCs w:val="32"/>
        </w:rPr>
        <w:t>0571-28057353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18626875250</w:t>
      </w:r>
    </w:p>
    <w:p w:rsidR="00493616" w:rsidRPr="009B242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张远博</w:t>
      </w:r>
      <w:r>
        <w:rPr>
          <w:rFonts w:ascii="仿宋_GB2312" w:eastAsia="仿宋_GB2312" w:hint="eastAsia"/>
          <w:sz w:val="32"/>
          <w:szCs w:val="32"/>
        </w:rPr>
        <w:t>，</w:t>
      </w:r>
      <w:r w:rsidRPr="005C649C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0</w:t>
      </w:r>
      <w:r w:rsidRPr="005C649C">
        <w:rPr>
          <w:rFonts w:ascii="仿宋_GB2312" w:eastAsia="仿宋_GB2312"/>
          <w:sz w:val="32"/>
          <w:szCs w:val="32"/>
        </w:rPr>
        <w:t>571-28176127</w:t>
      </w:r>
      <w:r w:rsidRPr="005C649C">
        <w:rPr>
          <w:rFonts w:ascii="仿宋_GB2312" w:eastAsia="仿宋_GB2312" w:hint="eastAsia"/>
          <w:sz w:val="32"/>
          <w:szCs w:val="32"/>
        </w:rPr>
        <w:t>，</w:t>
      </w:r>
      <w:r w:rsidRPr="005C649C">
        <w:rPr>
          <w:rFonts w:ascii="仿宋_GB2312" w:eastAsia="仿宋_GB2312"/>
          <w:sz w:val="32"/>
          <w:szCs w:val="32"/>
        </w:rPr>
        <w:t>13486195060</w:t>
      </w:r>
    </w:p>
    <w:p w:rsidR="00493616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AA780C">
        <w:rPr>
          <w:rFonts w:ascii="仿宋_GB2312" w:eastAsia="仿宋_GB2312" w:hint="eastAsia"/>
          <w:b/>
          <w:sz w:val="32"/>
          <w:szCs w:val="32"/>
        </w:rPr>
        <w:t>地址：</w:t>
      </w:r>
      <w:r w:rsidRPr="005C649C">
        <w:rPr>
          <w:rFonts w:ascii="仿宋_GB2312" w:eastAsia="仿宋_GB2312" w:hint="eastAsia"/>
          <w:sz w:val="32"/>
          <w:szCs w:val="32"/>
        </w:rPr>
        <w:t>中国浙江省杭州市</w:t>
      </w:r>
      <w:r>
        <w:rPr>
          <w:rFonts w:ascii="仿宋_GB2312" w:eastAsia="仿宋_GB2312" w:hint="eastAsia"/>
          <w:sz w:val="32"/>
          <w:szCs w:val="32"/>
        </w:rPr>
        <w:t>江干区</w:t>
      </w:r>
      <w:r w:rsidRPr="005C649C">
        <w:rPr>
          <w:rFonts w:ascii="仿宋_GB2312" w:eastAsia="仿宋_GB2312" w:hint="eastAsia"/>
          <w:sz w:val="32"/>
          <w:szCs w:val="32"/>
        </w:rPr>
        <w:t>钱潮路</w:t>
      </w:r>
      <w:r w:rsidRPr="005C649C">
        <w:rPr>
          <w:rFonts w:ascii="仿宋_GB2312" w:eastAsia="仿宋_GB2312"/>
          <w:sz w:val="32"/>
          <w:szCs w:val="32"/>
        </w:rPr>
        <w:t>2</w:t>
      </w:r>
      <w:r w:rsidRPr="005C649C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中国棋院杭州分院</w:t>
      </w:r>
      <w:r w:rsidRPr="005C649C">
        <w:rPr>
          <w:rFonts w:ascii="仿宋_GB2312" w:eastAsia="仿宋_GB2312"/>
          <w:sz w:val="32"/>
          <w:szCs w:val="32"/>
        </w:rPr>
        <w:t xml:space="preserve"> 410</w:t>
      </w:r>
      <w:r>
        <w:rPr>
          <w:rFonts w:ascii="仿宋_GB2312" w:eastAsia="仿宋_GB2312" w:hint="eastAsia"/>
          <w:sz w:val="32"/>
          <w:szCs w:val="32"/>
        </w:rPr>
        <w:t>室</w:t>
      </w:r>
    </w:p>
    <w:p w:rsidR="00493616" w:rsidRPr="00955517" w:rsidRDefault="00493616" w:rsidP="000A6CE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AA780C">
        <w:rPr>
          <w:rFonts w:ascii="仿宋_GB2312" w:eastAsia="仿宋_GB2312" w:hint="eastAsia"/>
          <w:b/>
          <w:sz w:val="32"/>
          <w:szCs w:val="32"/>
        </w:rPr>
        <w:t>邮编：</w:t>
      </w:r>
      <w:r>
        <w:rPr>
          <w:rFonts w:ascii="仿宋_GB2312" w:eastAsia="仿宋_GB2312"/>
          <w:sz w:val="32"/>
          <w:szCs w:val="32"/>
        </w:rPr>
        <w:t>310020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3616" w:rsidRDefault="00493616" w:rsidP="000A6CE9">
      <w:pPr>
        <w:spacing w:line="600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5C649C">
        <w:rPr>
          <w:rFonts w:ascii="仿宋_GB2312" w:eastAsia="仿宋_GB2312" w:hint="eastAsia"/>
          <w:sz w:val="32"/>
          <w:szCs w:val="32"/>
        </w:rPr>
        <w:t>若有抄袭、模仿、改编或顶用他人名义之</w:t>
      </w:r>
      <w:r>
        <w:rPr>
          <w:rFonts w:ascii="仿宋_GB2312" w:eastAsia="仿宋_GB2312" w:hint="eastAsia"/>
          <w:sz w:val="32"/>
          <w:szCs w:val="32"/>
        </w:rPr>
        <w:t>申报者，分院将取消其申报</w:t>
      </w:r>
      <w:r w:rsidRPr="005C649C"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；</w:t>
      </w:r>
      <w:r w:rsidRPr="005C649C">
        <w:rPr>
          <w:rFonts w:ascii="仿宋_GB2312" w:eastAsia="仿宋_GB2312" w:hint="eastAsia"/>
          <w:sz w:val="32"/>
          <w:szCs w:val="32"/>
        </w:rPr>
        <w:t>已经</w:t>
      </w:r>
      <w:r>
        <w:rPr>
          <w:rFonts w:ascii="仿宋_GB2312" w:eastAsia="仿宋_GB2312" w:hint="eastAsia"/>
          <w:sz w:val="32"/>
          <w:szCs w:val="32"/>
        </w:rPr>
        <w:t>受资助</w:t>
      </w:r>
      <w:r w:rsidRPr="005C649C"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 w:hint="eastAsia"/>
          <w:sz w:val="32"/>
          <w:szCs w:val="32"/>
        </w:rPr>
        <w:t>则</w:t>
      </w:r>
      <w:r w:rsidRPr="005C649C">
        <w:rPr>
          <w:rFonts w:ascii="仿宋_GB2312" w:eastAsia="仿宋_GB2312" w:hint="eastAsia"/>
          <w:sz w:val="32"/>
          <w:szCs w:val="32"/>
        </w:rPr>
        <w:t>追回</w:t>
      </w:r>
      <w:r>
        <w:rPr>
          <w:rFonts w:ascii="仿宋_GB2312" w:eastAsia="仿宋_GB2312" w:hint="eastAsia"/>
          <w:sz w:val="32"/>
          <w:szCs w:val="32"/>
        </w:rPr>
        <w:t>款项</w:t>
      </w:r>
      <w:r w:rsidRPr="005C649C">
        <w:rPr>
          <w:rFonts w:ascii="仿宋_GB2312" w:eastAsia="仿宋_GB2312" w:hint="eastAsia"/>
          <w:sz w:val="32"/>
          <w:szCs w:val="32"/>
        </w:rPr>
        <w:t>。构成侵权的，须承担相应的法律责任。</w:t>
      </w:r>
    </w:p>
    <w:p w:rsidR="00493616" w:rsidRDefault="00493616" w:rsidP="000A6CE9">
      <w:pPr>
        <w:spacing w:line="600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申报</w:t>
      </w:r>
      <w:r w:rsidRPr="005C649C">
        <w:rPr>
          <w:rFonts w:ascii="仿宋_GB2312" w:eastAsia="仿宋_GB2312" w:hint="eastAsia"/>
          <w:sz w:val="32"/>
          <w:szCs w:val="32"/>
        </w:rPr>
        <w:t>者请详阅</w:t>
      </w:r>
      <w:r>
        <w:rPr>
          <w:rFonts w:ascii="仿宋_GB2312" w:eastAsia="仿宋_GB2312" w:hint="eastAsia"/>
          <w:sz w:val="32"/>
          <w:szCs w:val="32"/>
        </w:rPr>
        <w:t>招标公告</w:t>
      </w:r>
      <w:r w:rsidRPr="005C649C">
        <w:rPr>
          <w:rFonts w:ascii="仿宋_GB2312" w:eastAsia="仿宋_GB2312" w:hint="eastAsia"/>
          <w:sz w:val="32"/>
          <w:szCs w:val="32"/>
        </w:rPr>
        <w:t>，一经</w:t>
      </w:r>
      <w:r>
        <w:rPr>
          <w:rFonts w:ascii="仿宋_GB2312" w:eastAsia="仿宋_GB2312" w:hint="eastAsia"/>
          <w:sz w:val="32"/>
          <w:szCs w:val="32"/>
        </w:rPr>
        <w:t>申报</w:t>
      </w:r>
      <w:r w:rsidRPr="005C649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则</w:t>
      </w:r>
      <w:r w:rsidRPr="005C649C">
        <w:rPr>
          <w:rFonts w:ascii="仿宋_GB2312" w:eastAsia="仿宋_GB2312" w:hint="eastAsia"/>
          <w:sz w:val="32"/>
          <w:szCs w:val="32"/>
        </w:rPr>
        <w:t>表示</w:t>
      </w:r>
      <w:r>
        <w:rPr>
          <w:rFonts w:ascii="仿宋_GB2312" w:eastAsia="仿宋_GB2312" w:hint="eastAsia"/>
          <w:sz w:val="32"/>
          <w:szCs w:val="32"/>
        </w:rPr>
        <w:t>其同意公告所述各项要求。</w:t>
      </w:r>
    </w:p>
    <w:p w:rsidR="00493616" w:rsidRPr="00C77A04" w:rsidRDefault="00493616" w:rsidP="000A6CE9">
      <w:pPr>
        <w:spacing w:line="600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本公告解释权归</w:t>
      </w:r>
      <w:r w:rsidRPr="00C77A04">
        <w:rPr>
          <w:rFonts w:ascii="仿宋_GB2312" w:eastAsia="仿宋_GB2312" w:hint="eastAsia"/>
          <w:sz w:val="32"/>
          <w:szCs w:val="32"/>
        </w:rPr>
        <w:t>中国棋院杭州分院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3616" w:rsidRDefault="00493616" w:rsidP="000A6CE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 w:rsidRPr="009B242C">
        <w:rPr>
          <w:rFonts w:ascii="仿宋_GB2312" w:eastAsia="仿宋_GB2312" w:hint="eastAsia"/>
          <w:sz w:val="32"/>
          <w:szCs w:val="32"/>
        </w:rPr>
        <w:t>第三届（</w:t>
      </w:r>
      <w:r w:rsidRPr="009B242C">
        <w:rPr>
          <w:rFonts w:ascii="仿宋_GB2312" w:eastAsia="仿宋_GB2312"/>
          <w:sz w:val="32"/>
          <w:szCs w:val="32"/>
        </w:rPr>
        <w:t>2015</w:t>
      </w:r>
      <w:r w:rsidRPr="009B242C">
        <w:rPr>
          <w:rFonts w:ascii="仿宋_GB2312" w:eastAsia="仿宋_GB2312" w:hint="eastAsia"/>
          <w:sz w:val="32"/>
          <w:szCs w:val="32"/>
        </w:rPr>
        <w:t>）中国杭州国际棋文化峰会杭州共识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  <w:r w:rsidRPr="00AB5F3F">
        <w:rPr>
          <w:rFonts w:ascii="仿宋_GB2312" w:eastAsia="仿宋_GB2312" w:hint="eastAsia"/>
          <w:sz w:val="32"/>
          <w:szCs w:val="32"/>
        </w:rPr>
        <w:t>课题资助协议书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93616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  <w:r w:rsidRPr="00AB5F3F">
        <w:rPr>
          <w:rFonts w:ascii="仿宋_GB2312" w:eastAsia="仿宋_GB2312" w:hint="eastAsia"/>
          <w:sz w:val="32"/>
          <w:szCs w:val="32"/>
        </w:rPr>
        <w:t>课题招标申报表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3616" w:rsidRPr="00AB5F3F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93616" w:rsidRPr="005C649C" w:rsidRDefault="00493616" w:rsidP="007C122E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93616" w:rsidRPr="005C649C" w:rsidRDefault="00493616" w:rsidP="000A6CE9">
      <w:pPr>
        <w:spacing w:line="60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5C649C">
        <w:rPr>
          <w:rFonts w:ascii="仿宋_GB2312" w:eastAsia="仿宋_GB2312" w:hint="eastAsia"/>
          <w:sz w:val="32"/>
          <w:szCs w:val="32"/>
        </w:rPr>
        <w:t>中国棋院杭州分院</w:t>
      </w:r>
    </w:p>
    <w:p w:rsidR="00493616" w:rsidRPr="00D810B4" w:rsidRDefault="00493616" w:rsidP="000A6CE9">
      <w:pPr>
        <w:spacing w:line="600" w:lineRule="exact"/>
        <w:ind w:right="64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 w:rsidRPr="005C649C">
          <w:rPr>
            <w:rFonts w:ascii="仿宋_GB2312" w:eastAsia="仿宋_GB2312"/>
            <w:sz w:val="32"/>
            <w:szCs w:val="32"/>
          </w:rPr>
          <w:t>2015</w:t>
        </w:r>
        <w:r w:rsidRPr="005C649C">
          <w:rPr>
            <w:rFonts w:ascii="仿宋_GB2312" w:eastAsia="仿宋_GB2312" w:hint="eastAsia"/>
            <w:sz w:val="32"/>
            <w:szCs w:val="32"/>
          </w:rPr>
          <w:t>年</w:t>
        </w:r>
        <w:r w:rsidRPr="005C649C"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/>
            <w:sz w:val="32"/>
            <w:szCs w:val="32"/>
          </w:rPr>
          <w:t>2</w:t>
        </w:r>
        <w:r w:rsidRPr="005C649C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493616" w:rsidRPr="00D810B4" w:rsidSect="0002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16" w:rsidRDefault="00493616" w:rsidP="00E10224">
      <w:r>
        <w:separator/>
      </w:r>
    </w:p>
  </w:endnote>
  <w:endnote w:type="continuationSeparator" w:id="0">
    <w:p w:rsidR="00493616" w:rsidRDefault="00493616" w:rsidP="00E1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16" w:rsidRDefault="00493616" w:rsidP="00E10224">
      <w:r>
        <w:separator/>
      </w:r>
    </w:p>
  </w:footnote>
  <w:footnote w:type="continuationSeparator" w:id="0">
    <w:p w:rsidR="00493616" w:rsidRDefault="00493616" w:rsidP="00E10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779E"/>
    <w:multiLevelType w:val="hybridMultilevel"/>
    <w:tmpl w:val="63285D9A"/>
    <w:lvl w:ilvl="0" w:tplc="BBFE6F5A">
      <w:start w:val="1"/>
      <w:numFmt w:val="japaneseCounting"/>
      <w:lvlText w:val="（%1）"/>
      <w:lvlJc w:val="left"/>
      <w:pPr>
        <w:ind w:left="2245" w:hanging="16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224"/>
    <w:rsid w:val="00022160"/>
    <w:rsid w:val="00025ECE"/>
    <w:rsid w:val="00026211"/>
    <w:rsid w:val="00034314"/>
    <w:rsid w:val="00066ADE"/>
    <w:rsid w:val="00074464"/>
    <w:rsid w:val="00084418"/>
    <w:rsid w:val="000A6CE9"/>
    <w:rsid w:val="000E1FAB"/>
    <w:rsid w:val="000E51B8"/>
    <w:rsid w:val="00103DD1"/>
    <w:rsid w:val="00116637"/>
    <w:rsid w:val="00140E8D"/>
    <w:rsid w:val="001468D9"/>
    <w:rsid w:val="00187FCF"/>
    <w:rsid w:val="001937C0"/>
    <w:rsid w:val="001943E4"/>
    <w:rsid w:val="001B0FE4"/>
    <w:rsid w:val="001B3C29"/>
    <w:rsid w:val="001D204B"/>
    <w:rsid w:val="001E5A85"/>
    <w:rsid w:val="00203944"/>
    <w:rsid w:val="002107DC"/>
    <w:rsid w:val="002256A2"/>
    <w:rsid w:val="00233BFD"/>
    <w:rsid w:val="00240C87"/>
    <w:rsid w:val="002421EA"/>
    <w:rsid w:val="002626B7"/>
    <w:rsid w:val="00287C6B"/>
    <w:rsid w:val="002A24B5"/>
    <w:rsid w:val="002C14AC"/>
    <w:rsid w:val="00330531"/>
    <w:rsid w:val="003479CF"/>
    <w:rsid w:val="00351F73"/>
    <w:rsid w:val="0037333B"/>
    <w:rsid w:val="00374290"/>
    <w:rsid w:val="00381F6A"/>
    <w:rsid w:val="003B356C"/>
    <w:rsid w:val="003C2450"/>
    <w:rsid w:val="003D66F6"/>
    <w:rsid w:val="003E2D6F"/>
    <w:rsid w:val="003F1DB5"/>
    <w:rsid w:val="003F6F28"/>
    <w:rsid w:val="00411C2B"/>
    <w:rsid w:val="004124D4"/>
    <w:rsid w:val="00413A2E"/>
    <w:rsid w:val="00425D48"/>
    <w:rsid w:val="00463C80"/>
    <w:rsid w:val="00480237"/>
    <w:rsid w:val="00493616"/>
    <w:rsid w:val="00496A0F"/>
    <w:rsid w:val="004E251D"/>
    <w:rsid w:val="00537D19"/>
    <w:rsid w:val="005A6D73"/>
    <w:rsid w:val="005B0B02"/>
    <w:rsid w:val="005B321F"/>
    <w:rsid w:val="005B7CCD"/>
    <w:rsid w:val="005C1AF3"/>
    <w:rsid w:val="005C649C"/>
    <w:rsid w:val="005E6BA3"/>
    <w:rsid w:val="006110B7"/>
    <w:rsid w:val="00630112"/>
    <w:rsid w:val="006413C4"/>
    <w:rsid w:val="00645E12"/>
    <w:rsid w:val="006538EE"/>
    <w:rsid w:val="00671EEB"/>
    <w:rsid w:val="00690240"/>
    <w:rsid w:val="006D29A0"/>
    <w:rsid w:val="006E3724"/>
    <w:rsid w:val="006F1CA8"/>
    <w:rsid w:val="00701A9C"/>
    <w:rsid w:val="0070593D"/>
    <w:rsid w:val="00727DEB"/>
    <w:rsid w:val="007334A7"/>
    <w:rsid w:val="007417E2"/>
    <w:rsid w:val="00751B47"/>
    <w:rsid w:val="00773548"/>
    <w:rsid w:val="00790C5A"/>
    <w:rsid w:val="007B7355"/>
    <w:rsid w:val="007C122E"/>
    <w:rsid w:val="007C4071"/>
    <w:rsid w:val="007D58E8"/>
    <w:rsid w:val="007E115D"/>
    <w:rsid w:val="00815164"/>
    <w:rsid w:val="008256DC"/>
    <w:rsid w:val="00842946"/>
    <w:rsid w:val="00847671"/>
    <w:rsid w:val="00852E7E"/>
    <w:rsid w:val="008C6B32"/>
    <w:rsid w:val="008F682B"/>
    <w:rsid w:val="00911352"/>
    <w:rsid w:val="0092463D"/>
    <w:rsid w:val="0094663D"/>
    <w:rsid w:val="00947B53"/>
    <w:rsid w:val="00955517"/>
    <w:rsid w:val="00971C77"/>
    <w:rsid w:val="009A4150"/>
    <w:rsid w:val="009B242C"/>
    <w:rsid w:val="00A16A1B"/>
    <w:rsid w:val="00A25397"/>
    <w:rsid w:val="00A52589"/>
    <w:rsid w:val="00A94C62"/>
    <w:rsid w:val="00AA780C"/>
    <w:rsid w:val="00AB5F3F"/>
    <w:rsid w:val="00AB6F27"/>
    <w:rsid w:val="00AC583E"/>
    <w:rsid w:val="00AD60F4"/>
    <w:rsid w:val="00AE0066"/>
    <w:rsid w:val="00AF7612"/>
    <w:rsid w:val="00B847CC"/>
    <w:rsid w:val="00B85DC9"/>
    <w:rsid w:val="00C1721A"/>
    <w:rsid w:val="00C50F68"/>
    <w:rsid w:val="00C72907"/>
    <w:rsid w:val="00C77A04"/>
    <w:rsid w:val="00CD5901"/>
    <w:rsid w:val="00CE7474"/>
    <w:rsid w:val="00D11717"/>
    <w:rsid w:val="00D45BF9"/>
    <w:rsid w:val="00D53376"/>
    <w:rsid w:val="00D63BB6"/>
    <w:rsid w:val="00D64A05"/>
    <w:rsid w:val="00D73826"/>
    <w:rsid w:val="00D75421"/>
    <w:rsid w:val="00D810B4"/>
    <w:rsid w:val="00DB1918"/>
    <w:rsid w:val="00E10224"/>
    <w:rsid w:val="00E20052"/>
    <w:rsid w:val="00E375D8"/>
    <w:rsid w:val="00E72BCE"/>
    <w:rsid w:val="00E80F6C"/>
    <w:rsid w:val="00E84ECF"/>
    <w:rsid w:val="00E901BE"/>
    <w:rsid w:val="00EA0B4D"/>
    <w:rsid w:val="00EB013B"/>
    <w:rsid w:val="00EB0F37"/>
    <w:rsid w:val="00EB4B8B"/>
    <w:rsid w:val="00EC6E74"/>
    <w:rsid w:val="00ED1381"/>
    <w:rsid w:val="00EF7AAE"/>
    <w:rsid w:val="00F01ABB"/>
    <w:rsid w:val="00F0268A"/>
    <w:rsid w:val="00F259C7"/>
    <w:rsid w:val="00F516A2"/>
    <w:rsid w:val="00F75EBD"/>
    <w:rsid w:val="00F81B92"/>
    <w:rsid w:val="00FA4120"/>
    <w:rsid w:val="00FE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02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022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30531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810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24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4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qwhf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869</TotalTime>
  <Pages>5</Pages>
  <Words>329</Words>
  <Characters>1879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25</cp:revision>
  <dcterms:created xsi:type="dcterms:W3CDTF">2015-11-20T09:15:00Z</dcterms:created>
  <dcterms:modified xsi:type="dcterms:W3CDTF">2015-12-06T12:32:00Z</dcterms:modified>
</cp:coreProperties>
</file>